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6824"/>
        <w:gridCol w:w="2977"/>
        <w:gridCol w:w="1843"/>
        <w:gridCol w:w="1166"/>
      </w:tblGrid>
      <w:tr w:rsidR="00152EC7" w:rsidTr="002A246B">
        <w:tc>
          <w:tcPr>
            <w:tcW w:w="1364" w:type="dxa"/>
          </w:tcPr>
          <w:p w:rsidR="00152EC7" w:rsidRDefault="00152EC7">
            <w:r>
              <w:t>Activity</w:t>
            </w:r>
          </w:p>
        </w:tc>
        <w:tc>
          <w:tcPr>
            <w:tcW w:w="6824" w:type="dxa"/>
          </w:tcPr>
          <w:p w:rsidR="00152EC7" w:rsidRDefault="00152EC7">
            <w:r>
              <w:t>Description</w:t>
            </w:r>
          </w:p>
        </w:tc>
        <w:tc>
          <w:tcPr>
            <w:tcW w:w="2977" w:type="dxa"/>
          </w:tcPr>
          <w:p w:rsidR="00152EC7" w:rsidRDefault="00152EC7">
            <w:r>
              <w:t>Purpose</w:t>
            </w:r>
          </w:p>
        </w:tc>
        <w:tc>
          <w:tcPr>
            <w:tcW w:w="1843" w:type="dxa"/>
          </w:tcPr>
          <w:p w:rsidR="00152EC7" w:rsidRDefault="00152EC7">
            <w:r>
              <w:t>Equipment</w:t>
            </w:r>
          </w:p>
        </w:tc>
        <w:tc>
          <w:tcPr>
            <w:tcW w:w="1166" w:type="dxa"/>
          </w:tcPr>
          <w:p w:rsidR="00152EC7" w:rsidRDefault="00152EC7">
            <w:r>
              <w:t>Covers</w:t>
            </w:r>
          </w:p>
        </w:tc>
      </w:tr>
      <w:tr w:rsidR="00152EC7" w:rsidTr="002A246B">
        <w:tc>
          <w:tcPr>
            <w:tcW w:w="1364" w:type="dxa"/>
          </w:tcPr>
          <w:p w:rsidR="00152EC7" w:rsidRDefault="00152EC7">
            <w:r>
              <w:t>Groundrules</w:t>
            </w:r>
          </w:p>
        </w:tc>
        <w:tc>
          <w:tcPr>
            <w:tcW w:w="6824" w:type="dxa"/>
          </w:tcPr>
          <w:p w:rsidR="00152EC7" w:rsidRDefault="00152EC7" w:rsidP="00A51652">
            <w:r>
              <w:t xml:space="preserve">Establish </w:t>
            </w:r>
            <w:proofErr w:type="spellStart"/>
            <w:r>
              <w:t>groundrules</w:t>
            </w:r>
            <w:proofErr w:type="spellEnd"/>
            <w:r>
              <w:t xml:space="preserve"> for session explaining that consent can evoke strong emotions for some people, especially if they or </w:t>
            </w:r>
            <w:proofErr w:type="gramStart"/>
            <w:r>
              <w:t>friends  /</w:t>
            </w:r>
            <w:proofErr w:type="gramEnd"/>
            <w:r>
              <w:t xml:space="preserve"> family have been personally affected by issues under discussion related to consent.  Explain this is ok, and no-one is expected to be in a position where they feel any distress so </w:t>
            </w:r>
            <w:proofErr w:type="spellStart"/>
            <w:r>
              <w:t>groundrules</w:t>
            </w:r>
            <w:proofErr w:type="spellEnd"/>
            <w:r>
              <w:t xml:space="preserve"> create a supportive environment.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52EC7" w:rsidRDefault="00152EC7" w:rsidP="00152EC7">
            <w:r>
              <w:t>Create supportive environment</w:t>
            </w:r>
          </w:p>
        </w:tc>
        <w:tc>
          <w:tcPr>
            <w:tcW w:w="1843" w:type="dxa"/>
          </w:tcPr>
          <w:p w:rsidR="00152EC7" w:rsidRDefault="00152EC7" w:rsidP="00152EC7">
            <w:r>
              <w:t xml:space="preserve">Flipchart &amp; pens </w:t>
            </w:r>
          </w:p>
        </w:tc>
        <w:tc>
          <w:tcPr>
            <w:tcW w:w="1166" w:type="dxa"/>
          </w:tcPr>
          <w:p w:rsidR="00152EC7" w:rsidRDefault="00152EC7"/>
        </w:tc>
      </w:tr>
      <w:tr w:rsidR="00152EC7" w:rsidTr="002A246B">
        <w:tc>
          <w:tcPr>
            <w:tcW w:w="1364" w:type="dxa"/>
          </w:tcPr>
          <w:p w:rsidR="00152EC7" w:rsidRDefault="00152EC7">
            <w:r>
              <w:t>Aims;</w:t>
            </w:r>
          </w:p>
        </w:tc>
        <w:tc>
          <w:tcPr>
            <w:tcW w:w="6824" w:type="dxa"/>
          </w:tcPr>
          <w:p w:rsidR="00152EC7" w:rsidRDefault="00152EC7" w:rsidP="00152EC7">
            <w:pPr>
              <w:pStyle w:val="ListParagraph"/>
              <w:numPr>
                <w:ilvl w:val="0"/>
                <w:numId w:val="1"/>
              </w:numPr>
            </w:pPr>
            <w:r>
              <w:t>To understand influences on sexual behaviour and develop skills for self-awareness.</w:t>
            </w:r>
          </w:p>
          <w:p w:rsidR="00152EC7" w:rsidRDefault="00152EC7" w:rsidP="00152EC7">
            <w:pPr>
              <w:pStyle w:val="ListParagraph"/>
              <w:numPr>
                <w:ilvl w:val="0"/>
                <w:numId w:val="1"/>
              </w:numPr>
            </w:pPr>
            <w:r>
              <w:t>To understand role of consent in relationships</w:t>
            </w:r>
          </w:p>
          <w:p w:rsidR="00152EC7" w:rsidRDefault="00152EC7" w:rsidP="00152EC7">
            <w:pPr>
              <w:pStyle w:val="ListParagraph"/>
              <w:numPr>
                <w:ilvl w:val="0"/>
                <w:numId w:val="1"/>
              </w:numPr>
            </w:pPr>
            <w:r>
              <w:t>To understand the impact of drugs and alcohol on choices, consent and behaviours</w:t>
            </w:r>
          </w:p>
          <w:p w:rsidR="00152EC7" w:rsidRDefault="00152EC7" w:rsidP="00152EC7">
            <w:pPr>
              <w:pStyle w:val="ListParagraph"/>
              <w:numPr>
                <w:ilvl w:val="0"/>
                <w:numId w:val="1"/>
              </w:numPr>
            </w:pPr>
            <w:r>
              <w:t>Recognise and challenge victim blaming</w:t>
            </w:r>
          </w:p>
        </w:tc>
        <w:tc>
          <w:tcPr>
            <w:tcW w:w="2977" w:type="dxa"/>
          </w:tcPr>
          <w:p w:rsidR="00152EC7" w:rsidRDefault="00152EC7" w:rsidP="00152EC7">
            <w:r>
              <w:t>Clearly link aims to RSE requirements regarding consent</w:t>
            </w:r>
          </w:p>
        </w:tc>
        <w:tc>
          <w:tcPr>
            <w:tcW w:w="1843" w:type="dxa"/>
          </w:tcPr>
          <w:p w:rsidR="00152EC7" w:rsidRDefault="00152EC7">
            <w:proofErr w:type="spellStart"/>
            <w:r>
              <w:t>Powerpoint</w:t>
            </w:r>
            <w:proofErr w:type="spellEnd"/>
          </w:p>
        </w:tc>
        <w:tc>
          <w:tcPr>
            <w:tcW w:w="1166" w:type="dxa"/>
          </w:tcPr>
          <w:p w:rsidR="00152EC7" w:rsidRDefault="00152EC7"/>
        </w:tc>
      </w:tr>
      <w:tr w:rsidR="00152EC7" w:rsidTr="002A246B">
        <w:tc>
          <w:tcPr>
            <w:tcW w:w="1364" w:type="dxa"/>
          </w:tcPr>
          <w:p w:rsidR="00152EC7" w:rsidRDefault="00152EC7">
            <w:r>
              <w:t>Ice-breaker</w:t>
            </w:r>
          </w:p>
        </w:tc>
        <w:tc>
          <w:tcPr>
            <w:tcW w:w="6824" w:type="dxa"/>
          </w:tcPr>
          <w:p w:rsidR="00152EC7" w:rsidRDefault="00152EC7" w:rsidP="00152EC7">
            <w:r>
              <w:t xml:space="preserve">Ask students to write down all the names they can think of (or have heard) to describe genital and breasts.  One name per post-it note and collect these after a few minutes and either place on flipchart and / or say out loud.  </w:t>
            </w:r>
          </w:p>
        </w:tc>
        <w:tc>
          <w:tcPr>
            <w:tcW w:w="2977" w:type="dxa"/>
          </w:tcPr>
          <w:p w:rsidR="00152EC7" w:rsidRDefault="00152EC7">
            <w:r>
              <w:t xml:space="preserve">To </w:t>
            </w:r>
            <w:r w:rsidR="004A62AE">
              <w:t>create relaxing atmosphere.</w:t>
            </w:r>
          </w:p>
        </w:tc>
        <w:tc>
          <w:tcPr>
            <w:tcW w:w="1843" w:type="dxa"/>
          </w:tcPr>
          <w:p w:rsidR="00152EC7" w:rsidRDefault="004A62AE">
            <w:r>
              <w:t>Post-it notes</w:t>
            </w:r>
          </w:p>
          <w:p w:rsidR="004A62AE" w:rsidRDefault="004A62AE">
            <w:r>
              <w:t>Pens</w:t>
            </w:r>
          </w:p>
          <w:p w:rsidR="004A62AE" w:rsidRDefault="004A62AE">
            <w:r>
              <w:t>Flipchart</w:t>
            </w:r>
          </w:p>
        </w:tc>
        <w:tc>
          <w:tcPr>
            <w:tcW w:w="1166" w:type="dxa"/>
          </w:tcPr>
          <w:p w:rsidR="00152EC7" w:rsidRDefault="00152EC7"/>
        </w:tc>
      </w:tr>
      <w:tr w:rsidR="00152EC7" w:rsidTr="002A246B">
        <w:tc>
          <w:tcPr>
            <w:tcW w:w="1364" w:type="dxa"/>
          </w:tcPr>
          <w:p w:rsidR="00152EC7" w:rsidRDefault="004A62AE">
            <w:r>
              <w:t xml:space="preserve">Why </w:t>
            </w:r>
            <w:proofErr w:type="gramStart"/>
            <w:r>
              <w:t>have sex</w:t>
            </w:r>
            <w:proofErr w:type="gramEnd"/>
            <w:r>
              <w:t>?</w:t>
            </w:r>
          </w:p>
        </w:tc>
        <w:tc>
          <w:tcPr>
            <w:tcW w:w="6824" w:type="dxa"/>
          </w:tcPr>
          <w:p w:rsidR="004A62AE" w:rsidRDefault="004A62AE" w:rsidP="004A62AE">
            <w:r>
              <w:t>Part 1</w:t>
            </w:r>
          </w:p>
          <w:p w:rsidR="00152EC7" w:rsidRDefault="004A62AE" w:rsidP="004A62AE">
            <w:r>
              <w:t>Ask pupils (in groups) to consider all the reasons people have sex.  Allow a few minutes for students to consider and prompt if required, particularly if negative reasons (</w:t>
            </w:r>
            <w:proofErr w:type="spellStart"/>
            <w:r>
              <w:t>eg</w:t>
            </w:r>
            <w:proofErr w:type="spellEnd"/>
            <w:r>
              <w:t xml:space="preserve"> assault / rape) are being avoided. </w:t>
            </w:r>
          </w:p>
          <w:p w:rsidR="004A62AE" w:rsidRDefault="004A62AE" w:rsidP="004A62AE"/>
          <w:p w:rsidR="004A62AE" w:rsidRDefault="004A62AE" w:rsidP="004A62AE">
            <w:r>
              <w:t>Ask groups to feedback reasons.</w:t>
            </w:r>
          </w:p>
          <w:p w:rsidR="004A62AE" w:rsidRDefault="004A62AE" w:rsidP="004A62AE"/>
          <w:p w:rsidR="004A62AE" w:rsidRDefault="004A62AE" w:rsidP="004A62AE">
            <w:r>
              <w:t>Part 2</w:t>
            </w:r>
          </w:p>
          <w:p w:rsidR="004A62AE" w:rsidRDefault="004A62AE" w:rsidP="004A62AE">
            <w:r>
              <w:t>Ask pupils to now consider what they would consider good (positive) reasons for having sex and what they may consider bad (negative) reasons for sexual activity.</w:t>
            </w:r>
          </w:p>
          <w:p w:rsidR="004A62AE" w:rsidRDefault="004A62AE" w:rsidP="004A62AE"/>
          <w:p w:rsidR="004A62AE" w:rsidRDefault="004A62AE" w:rsidP="004A62AE">
            <w:r>
              <w:t>Ask group for feedback and reasons</w:t>
            </w:r>
          </w:p>
          <w:p w:rsidR="004A62AE" w:rsidRDefault="004A62AE" w:rsidP="004A62AE"/>
        </w:tc>
        <w:tc>
          <w:tcPr>
            <w:tcW w:w="2977" w:type="dxa"/>
          </w:tcPr>
          <w:p w:rsidR="00152EC7" w:rsidRDefault="004A62AE">
            <w:r>
              <w:t xml:space="preserve">To draw out that Sex isn’t always a positive thing and individuals can be influenced by </w:t>
            </w:r>
            <w:proofErr w:type="gramStart"/>
            <w:r>
              <w:t>peers,</w:t>
            </w:r>
            <w:proofErr w:type="gramEnd"/>
            <w:r>
              <w:t xml:space="preserve"> and cultural norms or perceived norms.</w:t>
            </w:r>
          </w:p>
          <w:p w:rsidR="00BB53A2" w:rsidRDefault="00BB53A2"/>
          <w:p w:rsidR="00BB53A2" w:rsidRDefault="00BB53A2" w:rsidP="00BB53A2">
            <w:r>
              <w:t>Positive reinforcement, boost self-esteem etc. – link to where we get body image from.</w:t>
            </w:r>
          </w:p>
          <w:p w:rsidR="00160E3C" w:rsidRDefault="00160E3C" w:rsidP="00BB53A2"/>
          <w:p w:rsidR="00160E3C" w:rsidRDefault="00160E3C" w:rsidP="00BB53A2">
            <w:r>
              <w:t>Emphasise pleasure is important</w:t>
            </w:r>
          </w:p>
        </w:tc>
        <w:tc>
          <w:tcPr>
            <w:tcW w:w="1843" w:type="dxa"/>
          </w:tcPr>
          <w:p w:rsidR="00152EC7" w:rsidRDefault="004A62AE">
            <w:r>
              <w:t>Flipchart / Pens</w:t>
            </w:r>
          </w:p>
        </w:tc>
        <w:tc>
          <w:tcPr>
            <w:tcW w:w="1166" w:type="dxa"/>
          </w:tcPr>
          <w:p w:rsidR="00152EC7" w:rsidRDefault="00160E3C">
            <w:r>
              <w:t>KS3 (R8</w:t>
            </w:r>
            <w:r w:rsidR="00FE34D6">
              <w:t>, R2</w:t>
            </w:r>
            <w:r>
              <w:t>)</w:t>
            </w:r>
          </w:p>
          <w:p w:rsidR="00160E3C" w:rsidRDefault="00160E3C"/>
          <w:p w:rsidR="00160E3C" w:rsidRDefault="00160E3C">
            <w:r>
              <w:t>KS4 (</w:t>
            </w:r>
            <w:r w:rsidR="00415A0A">
              <w:t>R2, R12, R31)</w:t>
            </w:r>
          </w:p>
        </w:tc>
      </w:tr>
      <w:tr w:rsidR="00152EC7" w:rsidTr="002A246B">
        <w:tc>
          <w:tcPr>
            <w:tcW w:w="1364" w:type="dxa"/>
          </w:tcPr>
          <w:p w:rsidR="00152EC7" w:rsidRDefault="00BB53A2">
            <w:r>
              <w:t>When am I ready</w:t>
            </w:r>
          </w:p>
        </w:tc>
        <w:tc>
          <w:tcPr>
            <w:tcW w:w="6824" w:type="dxa"/>
          </w:tcPr>
          <w:p w:rsidR="00152EC7" w:rsidRDefault="00BB53A2">
            <w:r>
              <w:t xml:space="preserve">Provide normalising messages </w:t>
            </w:r>
            <w:proofErr w:type="spellStart"/>
            <w:r>
              <w:t>eg</w:t>
            </w:r>
            <w:proofErr w:type="spellEnd"/>
            <w:r>
              <w:t>;</w:t>
            </w:r>
          </w:p>
          <w:p w:rsidR="00BB53A2" w:rsidRDefault="00BB53A2" w:rsidP="00BB53A2">
            <w:pPr>
              <w:pStyle w:val="ListParagraph"/>
              <w:numPr>
                <w:ilvl w:val="0"/>
                <w:numId w:val="2"/>
              </w:numPr>
            </w:pPr>
            <w:r>
              <w:t xml:space="preserve">Most young people under 16 are </w:t>
            </w:r>
            <w:r>
              <w:rPr>
                <w:b/>
              </w:rPr>
              <w:t>not</w:t>
            </w:r>
            <w:r>
              <w:t xml:space="preserve"> sexually active although </w:t>
            </w:r>
            <w:r>
              <w:lastRenderedPageBreak/>
              <w:t>more may say they are. (refer back to peer pressures)</w:t>
            </w:r>
          </w:p>
          <w:p w:rsidR="002A246B" w:rsidRDefault="002A246B" w:rsidP="002A246B"/>
          <w:p w:rsidR="00BB53A2" w:rsidRDefault="002A246B" w:rsidP="002A246B">
            <w:r>
              <w:t xml:space="preserve">Discuss R U ready questions </w:t>
            </w:r>
          </w:p>
        </w:tc>
        <w:tc>
          <w:tcPr>
            <w:tcW w:w="2977" w:type="dxa"/>
          </w:tcPr>
          <w:p w:rsidR="00152EC7" w:rsidRDefault="002A246B">
            <w:r>
              <w:lastRenderedPageBreak/>
              <w:t xml:space="preserve">Normalising messages reinforces reality that most </w:t>
            </w:r>
            <w:r>
              <w:lastRenderedPageBreak/>
              <w:t xml:space="preserve">people are not sexually active and pushes back against misconceptions which in turn create pressure. </w:t>
            </w:r>
          </w:p>
          <w:p w:rsidR="002A246B" w:rsidRDefault="002A246B"/>
          <w:p w:rsidR="002A246B" w:rsidRDefault="002A246B">
            <w:proofErr w:type="gramStart"/>
            <w:r>
              <w:t>RU ready questions provides</w:t>
            </w:r>
            <w:proofErr w:type="gramEnd"/>
            <w:r>
              <w:t xml:space="preserve"> a focussed means for pupils to understand what they want and when they may be ready.</w:t>
            </w:r>
          </w:p>
        </w:tc>
        <w:tc>
          <w:tcPr>
            <w:tcW w:w="1843" w:type="dxa"/>
          </w:tcPr>
          <w:p w:rsidR="00152EC7" w:rsidRDefault="00152EC7"/>
        </w:tc>
        <w:tc>
          <w:tcPr>
            <w:tcW w:w="1166" w:type="dxa"/>
          </w:tcPr>
          <w:p w:rsidR="00152EC7" w:rsidRDefault="00415A0A">
            <w:r>
              <w:t>KS3 (R12</w:t>
            </w:r>
            <w:r w:rsidR="00FE34D6">
              <w:t>, R28</w:t>
            </w:r>
            <w:r>
              <w:t>)</w:t>
            </w:r>
          </w:p>
          <w:p w:rsidR="00415A0A" w:rsidRDefault="00415A0A">
            <w:r>
              <w:lastRenderedPageBreak/>
              <w:t>KS4 (R21)</w:t>
            </w:r>
          </w:p>
        </w:tc>
      </w:tr>
      <w:tr w:rsidR="00152EC7" w:rsidTr="002A246B">
        <w:tc>
          <w:tcPr>
            <w:tcW w:w="1364" w:type="dxa"/>
          </w:tcPr>
          <w:p w:rsidR="00152EC7" w:rsidRDefault="002A246B">
            <w:r>
              <w:lastRenderedPageBreak/>
              <w:t>Video clip</w:t>
            </w:r>
          </w:p>
        </w:tc>
        <w:tc>
          <w:tcPr>
            <w:tcW w:w="6824" w:type="dxa"/>
          </w:tcPr>
          <w:p w:rsidR="00152EC7" w:rsidRDefault="00AD08E6">
            <w:r>
              <w:t xml:space="preserve">Visit website and play </w:t>
            </w:r>
            <w:r w:rsidR="00415A0A">
              <w:t xml:space="preserve">Shanice and Julian </w:t>
            </w:r>
            <w:r>
              <w:t>clip.  Video shows the statistically most common scenario</w:t>
            </w:r>
            <w:r w:rsidR="002A246B">
              <w:t xml:space="preserve">, </w:t>
            </w:r>
            <w:proofErr w:type="spellStart"/>
            <w:r w:rsidR="002A246B">
              <w:t>ie</w:t>
            </w:r>
            <w:proofErr w:type="spellEnd"/>
            <w:r w:rsidR="002A246B">
              <w:t xml:space="preserve"> male pressure towards females to have sex.</w:t>
            </w:r>
            <w:r>
              <w:t xml:space="preserve"> However, state that whilst this is the most common scenario it is not exclusive and pressure exists in same sex relationships, and also from female to male partners.</w:t>
            </w:r>
          </w:p>
          <w:p w:rsidR="002A246B" w:rsidRDefault="002A246B"/>
          <w:p w:rsidR="002A246B" w:rsidRDefault="002A246B" w:rsidP="002A246B">
            <w:r>
              <w:t xml:space="preserve">Asking pupils to consider what pressures exist, how Julian and Shanice are responding, and how they could respond for the benefit of their relationship </w:t>
            </w:r>
          </w:p>
        </w:tc>
        <w:tc>
          <w:tcPr>
            <w:tcW w:w="2977" w:type="dxa"/>
          </w:tcPr>
          <w:p w:rsidR="00152EC7" w:rsidRDefault="002A246B">
            <w:r>
              <w:t>Clip allows pupils to understand how pressure can act in a number of different ways, and provide them with an opportunity to create strategies they could use in their own lives and relationships.</w:t>
            </w:r>
          </w:p>
        </w:tc>
        <w:tc>
          <w:tcPr>
            <w:tcW w:w="1843" w:type="dxa"/>
          </w:tcPr>
          <w:p w:rsidR="00152EC7" w:rsidRDefault="00AD08E6">
            <w:r>
              <w:t>Internet access</w:t>
            </w:r>
          </w:p>
        </w:tc>
        <w:tc>
          <w:tcPr>
            <w:tcW w:w="1166" w:type="dxa"/>
          </w:tcPr>
          <w:p w:rsidR="00152EC7" w:rsidRDefault="004E60CB" w:rsidP="004E60CB">
            <w:r w:rsidRPr="004E60CB">
              <w:t>(KS3 R24, R29, R31)</w:t>
            </w:r>
          </w:p>
          <w:p w:rsidR="004E60CB" w:rsidRDefault="004E60CB" w:rsidP="004E60CB"/>
          <w:p w:rsidR="004E60CB" w:rsidRDefault="004E60CB" w:rsidP="004E60CB">
            <w:r w:rsidRPr="004E60CB">
              <w:t>(KS4 R1, R18, R21, R22)</w:t>
            </w:r>
          </w:p>
        </w:tc>
      </w:tr>
      <w:tr w:rsidR="00152EC7" w:rsidTr="002A246B">
        <w:tc>
          <w:tcPr>
            <w:tcW w:w="1364" w:type="dxa"/>
          </w:tcPr>
          <w:p w:rsidR="00152EC7" w:rsidRDefault="00AD08E6">
            <w:r>
              <w:t>Scenarios</w:t>
            </w:r>
          </w:p>
        </w:tc>
        <w:tc>
          <w:tcPr>
            <w:tcW w:w="6824" w:type="dxa"/>
          </w:tcPr>
          <w:p w:rsidR="00152EC7" w:rsidRDefault="00AD08E6">
            <w:r>
              <w:t>Purpose to explore concepts of “Freedom” and “Capacity” to consent, along with challenge of any Rape Myths which may arise as part of discussion.</w:t>
            </w:r>
          </w:p>
        </w:tc>
        <w:tc>
          <w:tcPr>
            <w:tcW w:w="2977" w:type="dxa"/>
          </w:tcPr>
          <w:p w:rsidR="00152EC7" w:rsidRDefault="00AD08E6">
            <w:r>
              <w:t>Although the specific details is not a case study</w:t>
            </w:r>
            <w:r w:rsidR="00160E3C">
              <w:t>,</w:t>
            </w:r>
            <w:r>
              <w:t xml:space="preserve"> all elements of the scenarios are realistic and plausible so provides students with an opportunity to discuss their thoughts and fully understand how consent can be applied to different situations.</w:t>
            </w:r>
          </w:p>
        </w:tc>
        <w:tc>
          <w:tcPr>
            <w:tcW w:w="1843" w:type="dxa"/>
          </w:tcPr>
          <w:p w:rsidR="00152EC7" w:rsidRDefault="00152EC7"/>
        </w:tc>
        <w:tc>
          <w:tcPr>
            <w:tcW w:w="1166" w:type="dxa"/>
          </w:tcPr>
          <w:p w:rsidR="00415A0A" w:rsidRDefault="00415A0A" w:rsidP="00415A0A">
            <w:r>
              <w:t>(KS3 R2</w:t>
            </w:r>
            <w:r w:rsidR="00FE34D6">
              <w:t>, R24, R25, R26, R27, R31</w:t>
            </w:r>
            <w:r>
              <w:t>)</w:t>
            </w:r>
          </w:p>
          <w:p w:rsidR="00152EC7" w:rsidRDefault="00415A0A" w:rsidP="00415A0A">
            <w:r>
              <w:t>(KS4 R18,R19, R20)</w:t>
            </w:r>
          </w:p>
        </w:tc>
      </w:tr>
      <w:tr w:rsidR="00AD08E6" w:rsidTr="002A246B">
        <w:tc>
          <w:tcPr>
            <w:tcW w:w="1364" w:type="dxa"/>
          </w:tcPr>
          <w:p w:rsidR="00AD08E6" w:rsidRDefault="00160E3C">
            <w:r>
              <w:t>Round-up</w:t>
            </w:r>
          </w:p>
        </w:tc>
        <w:tc>
          <w:tcPr>
            <w:tcW w:w="6824" w:type="dxa"/>
          </w:tcPr>
          <w:p w:rsidR="00AD08E6" w:rsidRDefault="00160E3C" w:rsidP="00160E3C">
            <w:r>
              <w:t>Ask students to consider learning from lesson and options;</w:t>
            </w:r>
          </w:p>
          <w:p w:rsidR="00160E3C" w:rsidRDefault="00160E3C" w:rsidP="00160E3C">
            <w:pPr>
              <w:pStyle w:val="ListParagraph"/>
              <w:numPr>
                <w:ilvl w:val="0"/>
                <w:numId w:val="3"/>
              </w:numPr>
            </w:pPr>
            <w:r>
              <w:t>Reflect on learning and write down one learning point on post-it</w:t>
            </w:r>
          </w:p>
          <w:p w:rsidR="00160E3C" w:rsidRDefault="00160E3C" w:rsidP="00160E3C">
            <w:pPr>
              <w:pStyle w:val="ListParagraph"/>
              <w:numPr>
                <w:ilvl w:val="0"/>
                <w:numId w:val="3"/>
              </w:numPr>
            </w:pPr>
            <w:r>
              <w:t>Reflect on learning and write down one action they can do.</w:t>
            </w:r>
          </w:p>
          <w:p w:rsidR="00160E3C" w:rsidRDefault="00160E3C" w:rsidP="00160E3C">
            <w:pPr>
              <w:pStyle w:val="ListParagraph"/>
              <w:numPr>
                <w:ilvl w:val="1"/>
                <w:numId w:val="3"/>
              </w:numPr>
            </w:pPr>
            <w:proofErr w:type="spellStart"/>
            <w:r>
              <w:t>Eg</w:t>
            </w:r>
            <w:proofErr w:type="spellEnd"/>
            <w:r>
              <w:t xml:space="preserve"> challenge any rape myths they hear.</w:t>
            </w:r>
          </w:p>
          <w:p w:rsidR="00160E3C" w:rsidRDefault="00160E3C" w:rsidP="00160E3C">
            <w:pPr>
              <w:pStyle w:val="ListParagraph"/>
              <w:numPr>
                <w:ilvl w:val="1"/>
                <w:numId w:val="3"/>
              </w:numPr>
            </w:pPr>
            <w:r>
              <w:t>Support others if they feel their ability to consent is compromised.</w:t>
            </w:r>
          </w:p>
          <w:p w:rsidR="00160E3C" w:rsidRDefault="00160E3C" w:rsidP="00160E3C">
            <w:pPr>
              <w:pStyle w:val="ListParagraph"/>
              <w:numPr>
                <w:ilvl w:val="1"/>
                <w:numId w:val="3"/>
              </w:numPr>
            </w:pPr>
            <w:r>
              <w:lastRenderedPageBreak/>
              <w:t>Challenge friends / peers if they are acting a way which compromises others in terms of consent.</w:t>
            </w:r>
          </w:p>
          <w:p w:rsidR="00160E3C" w:rsidRDefault="00160E3C" w:rsidP="00160E3C">
            <w:pPr>
              <w:ind w:left="360"/>
            </w:pPr>
            <w:r>
              <w:t>Collate responses and use this to feedback to students in further sessions or wider school work.</w:t>
            </w:r>
          </w:p>
        </w:tc>
        <w:tc>
          <w:tcPr>
            <w:tcW w:w="2977" w:type="dxa"/>
          </w:tcPr>
          <w:p w:rsidR="00AD08E6" w:rsidRDefault="00160E3C">
            <w:r>
              <w:lastRenderedPageBreak/>
              <w:t>To embed learning and if option 2 is used, relate this to actions they can take.</w:t>
            </w:r>
          </w:p>
        </w:tc>
        <w:tc>
          <w:tcPr>
            <w:tcW w:w="1843" w:type="dxa"/>
          </w:tcPr>
          <w:p w:rsidR="00AD08E6" w:rsidRDefault="00160E3C">
            <w:r>
              <w:t>Post-it notes / Pens</w:t>
            </w:r>
          </w:p>
        </w:tc>
        <w:tc>
          <w:tcPr>
            <w:tcW w:w="1166" w:type="dxa"/>
          </w:tcPr>
          <w:p w:rsidR="00AD08E6" w:rsidRDefault="00AD08E6"/>
        </w:tc>
      </w:tr>
    </w:tbl>
    <w:p w:rsidR="005A288D" w:rsidRDefault="005A288D"/>
    <w:sectPr w:rsidR="005A288D" w:rsidSect="00152E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55C8"/>
    <w:multiLevelType w:val="hybridMultilevel"/>
    <w:tmpl w:val="501EF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D5968"/>
    <w:multiLevelType w:val="hybridMultilevel"/>
    <w:tmpl w:val="9692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757B7"/>
    <w:multiLevelType w:val="hybridMultilevel"/>
    <w:tmpl w:val="9DD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C7"/>
    <w:rsid w:val="00152EC7"/>
    <w:rsid w:val="00160E3C"/>
    <w:rsid w:val="002A246B"/>
    <w:rsid w:val="00415A0A"/>
    <w:rsid w:val="004A62AE"/>
    <w:rsid w:val="004E60CB"/>
    <w:rsid w:val="005A288D"/>
    <w:rsid w:val="00A51652"/>
    <w:rsid w:val="00AD08E6"/>
    <w:rsid w:val="00BB53A2"/>
    <w:rsid w:val="00D34387"/>
    <w:rsid w:val="00F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steven.searby</dc:creator>
  <cp:lastModifiedBy>steven.searby</cp:lastModifiedBy>
  <cp:revision>6</cp:revision>
  <cp:lastPrinted>2021-03-09T13:42:00Z</cp:lastPrinted>
  <dcterms:created xsi:type="dcterms:W3CDTF">2021-02-15T11:31:00Z</dcterms:created>
  <dcterms:modified xsi:type="dcterms:W3CDTF">2021-03-09T14:50:00Z</dcterms:modified>
</cp:coreProperties>
</file>